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100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TRI00786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100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144,3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144,3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86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700 × 510 × 750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380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700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510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750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Cota lateral de fijación D: 450 mm.</w:t>
              <w:br/>
              <w:t>Resto de cotas de anclaje: según plano de fabricación.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TRI00786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100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p>
      <w:pPr>
        <w:spacing w:after="40" w:before="0" w:line="247" w:lineRule="auto"/>
      </w:pPr>
      <w:r>
        <w:rPr>
          <w:b w:val="0"/>
          <w:color w:val="666666"/>
          <w:sz w:val="13"/>
        </w:rPr>
        <w:t>* Intensidades nominales calculadas para carga trifásica equilibrada: I = S / (√3 × 400 V).</w:t>
      </w:r>
    </w:p>
    <w:p>
      <w:pPr>
        <w:spacing w:after="40" w:before="0" w:line="247" w:lineRule="auto"/>
      </w:pPr>
      <w:r>
        <w:rPr>
          <w:b w:val="0"/>
          <w:color w:val="666666"/>
          <w:sz w:val="13"/>
        </w:rPr>
        <w:t>Dimensiones de referencia de la construcción TRTA. Verificar la envolvente definitiva antes de mecanizar los anclajes.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TRI00786     |     100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TRI00786 Transformador trifásico 100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